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8" w:rsidRDefault="00D64548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ko-KR"/>
        </w:rPr>
        <w:drawing>
          <wp:inline distT="0" distB="0" distL="0" distR="0">
            <wp:extent cx="5732145" cy="7883573"/>
            <wp:effectExtent l="19050" t="0" r="1905" b="0"/>
            <wp:docPr id="1" name="Рисунок 1" descr="C:\Users\Детский сад\Desktop\СТАРШИЙ ВОСПИТАТЕЛЬ\Отчет самообследования2020\2022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СТАРШИЙ ВОСПИТАТЕЛЬ\Отчет самообследования2020\2022\титу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548" w:rsidRDefault="00D64548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4548" w:rsidRDefault="00D64548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263D" w:rsidRPr="007D594B" w:rsidRDefault="001C263D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594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МУНИЦИПАЛЬНОЕ АВТОНОМНОЕ ОБЩЕОБРАЗОВАТЕЛЬНОЕ УЧРЕЖДЕНИЕ </w:t>
      </w:r>
    </w:p>
    <w:p w:rsidR="001C263D" w:rsidRPr="007D594B" w:rsidRDefault="001C263D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594B">
        <w:rPr>
          <w:rFonts w:ascii="Times New Roman" w:hAnsi="Times New Roman" w:cs="Times New Roman"/>
          <w:sz w:val="24"/>
          <w:szCs w:val="24"/>
          <w:lang w:val="ru-RU"/>
        </w:rPr>
        <w:t>ШИШКИНСКАЯ СРЕДНЯЯ ОБЩЕОБРАЗОВАТЕЛЬНАЯ ШКОЛА</w:t>
      </w:r>
    </w:p>
    <w:p w:rsidR="001C263D" w:rsidRPr="007D594B" w:rsidRDefault="001C263D" w:rsidP="001C263D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3"/>
        <w:gridCol w:w="1514"/>
        <w:gridCol w:w="2297"/>
        <w:gridCol w:w="1973"/>
      </w:tblGrid>
      <w:tr w:rsidR="001C263D" w:rsidTr="00A351C3">
        <w:tc>
          <w:tcPr>
            <w:tcW w:w="3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263D" w:rsidTr="00A351C3"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№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Шишкинская СОШ</w:t>
            </w:r>
          </w:p>
        </w:tc>
      </w:tr>
      <w:tr w:rsidR="001C263D" w:rsidTr="00A351C3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О.Ю.Кузнецова</w:t>
            </w:r>
          </w:p>
        </w:tc>
      </w:tr>
      <w:tr w:rsidR="001C263D" w:rsidTr="00A351C3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2680" w:rsidRDefault="00D8268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82680" w:rsidRPr="001C263D" w:rsidRDefault="009446B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26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1C26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1C263D">
        <w:rPr>
          <w:b/>
          <w:lang w:val="ru-RU"/>
        </w:rPr>
        <w:br/>
      </w:r>
      <w:r w:rsidR="001C263D"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>детского сада</w:t>
      </w:r>
      <w:r w:rsidR="007E7D4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«Ромашка»</w:t>
      </w:r>
      <w:r w:rsidR="001C263D"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7E7D4F">
        <w:rPr>
          <w:rFonts w:hAnsi="Times New Roman" w:cs="Times New Roman"/>
          <w:b/>
          <w:color w:val="000000"/>
          <w:sz w:val="24"/>
          <w:szCs w:val="24"/>
          <w:lang w:val="ru-RU"/>
        </w:rPr>
        <w:t>СП</w:t>
      </w:r>
      <w:r w:rsidR="001C263D"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МАОУ Шишкинская СОШ</w:t>
      </w:r>
    </w:p>
    <w:p w:rsidR="001C263D" w:rsidRPr="001C263D" w:rsidRDefault="001C263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>за</w:t>
      </w:r>
      <w:r w:rsidR="00916EA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2022</w:t>
      </w:r>
      <w:r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</w:t>
      </w:r>
    </w:p>
    <w:p w:rsidR="00D82680" w:rsidRPr="009446B8" w:rsidRDefault="00D82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34035" w:rsidRDefault="001C263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34035">
        <w:rPr>
          <w:rFonts w:hAnsi="Times New Roman" w:cs="Times New Roman"/>
          <w:b/>
          <w:color w:val="000000"/>
          <w:sz w:val="24"/>
          <w:szCs w:val="24"/>
          <w:lang w:val="ru-RU"/>
        </w:rPr>
        <w:t>Аналитическая часть</w:t>
      </w:r>
    </w:p>
    <w:p w:rsidR="00D82680" w:rsidRPr="00A13E60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E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6"/>
        <w:gridCol w:w="6565"/>
      </w:tblGrid>
      <w:tr w:rsidR="001C263D" w:rsidRPr="00D64548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1C263D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Ольга Юрьевна</w:t>
            </w:r>
          </w:p>
        </w:tc>
      </w:tr>
      <w:tr w:rsidR="001C263D" w:rsidRPr="003B34CF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626252</w:t>
            </w: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Тюменская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р-н, 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ишкина, ул. Зеленая 12А</w:t>
            </w:r>
          </w:p>
        </w:tc>
      </w:tr>
      <w:tr w:rsidR="001C263D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AC0748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4-41</w:t>
            </w:r>
          </w:p>
        </w:tc>
      </w:tr>
      <w:tr w:rsidR="00D8268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RPr="00D64548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A13E60" w:rsidRDefault="001C263D">
            <w:pPr>
              <w:rPr>
                <w:lang w:val="ru-RU"/>
              </w:rPr>
            </w:pPr>
            <w:r w:rsidRPr="00A11CC4">
              <w:rPr>
                <w:sz w:val="23"/>
                <w:szCs w:val="23"/>
                <w:lang w:val="ru-RU"/>
              </w:rPr>
              <w:t>Администрация Вагайского района в лице Муниципального органа управления образованием Администрации Вагайского района.</w:t>
            </w:r>
          </w:p>
        </w:tc>
      </w:tr>
      <w:tr w:rsidR="00D8268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1C26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15.12.2016 № 268 серия </w:t>
            </w:r>
            <w:r w:rsidRPr="00A11CC4">
              <w:rPr>
                <w:sz w:val="23"/>
                <w:szCs w:val="23"/>
                <w:lang w:val="ru-RU"/>
              </w:rPr>
              <w:t>72 Л01 0001911</w:t>
            </w:r>
          </w:p>
        </w:tc>
      </w:tr>
      <w:tr w:rsidR="001C263D" w:rsidRPr="00D64548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27.12.2016 № 100, </w:t>
            </w:r>
            <w:r w:rsidRPr="00187633">
              <w:rPr>
                <w:sz w:val="23"/>
                <w:szCs w:val="23"/>
                <w:lang w:val="ru-RU"/>
              </w:rPr>
              <w:t xml:space="preserve"> серия 72А01 №  0000561</w:t>
            </w:r>
            <w:r>
              <w:rPr>
                <w:sz w:val="23"/>
                <w:szCs w:val="23"/>
                <w:lang w:val="ru-RU"/>
              </w:rPr>
              <w:t>; срок действия: до 14 апреля 2026 года</w:t>
            </w:r>
          </w:p>
        </w:tc>
      </w:tr>
    </w:tbl>
    <w:p w:rsidR="00A13E60" w:rsidRDefault="00A13E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7E7D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«Ромашка»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Шишкинская СОШ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расположено в жилом районе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269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269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507F5B">
        <w:rPr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 – с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507F5B" w:rsidRPr="00507F5B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 xml:space="preserve"> 46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2 до 7 лет. </w:t>
      </w:r>
      <w:r w:rsidRPr="00A13E60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proofErr w:type="gramStart"/>
      <w:r w:rsidR="00507F5B" w:rsidRPr="00A13E60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="00507F5B" w:rsidRPr="00A13E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3E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возрастные </w:t>
      </w:r>
      <w:r w:rsidRPr="00A13E6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7E7D4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13E6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E7D4F" w:rsidRDefault="007E7D4F" w:rsidP="007E7D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Младшая группа</w:t>
      </w:r>
      <w:r w:rsidR="00916EAF">
        <w:rPr>
          <w:rFonts w:hAnsi="Times New Roman" w:cs="Times New Roman"/>
          <w:color w:val="000000"/>
          <w:sz w:val="24"/>
          <w:szCs w:val="24"/>
          <w:lang w:val="ru-RU"/>
        </w:rPr>
        <w:t xml:space="preserve"> -14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</w:p>
    <w:p w:rsidR="007E7D4F" w:rsidRDefault="007E7D4F" w:rsidP="007E7D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группа</w:t>
      </w:r>
      <w:r w:rsidR="00916EAF">
        <w:rPr>
          <w:rFonts w:hAnsi="Times New Roman" w:cs="Times New Roman"/>
          <w:color w:val="000000"/>
          <w:sz w:val="24"/>
          <w:szCs w:val="24"/>
          <w:lang w:val="ru-RU"/>
        </w:rPr>
        <w:t xml:space="preserve"> -14 детей</w:t>
      </w:r>
    </w:p>
    <w:p w:rsidR="00A13E60" w:rsidRDefault="00A13E60" w:rsidP="007E7D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ИКП</w:t>
      </w:r>
      <w:r w:rsidR="00916EAF">
        <w:rPr>
          <w:rFonts w:hAnsi="Times New Roman" w:cs="Times New Roman"/>
          <w:color w:val="000000"/>
          <w:sz w:val="24"/>
          <w:szCs w:val="24"/>
          <w:lang w:val="ru-RU"/>
        </w:rPr>
        <w:t>- 0</w:t>
      </w:r>
    </w:p>
    <w:p w:rsidR="00A13E60" w:rsidRPr="009446B8" w:rsidRDefault="00A13E60" w:rsidP="007E7D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КМП</w:t>
      </w:r>
      <w:r w:rsidR="00916EAF">
        <w:rPr>
          <w:rFonts w:hAnsi="Times New Roman" w:cs="Times New Roman"/>
          <w:color w:val="000000"/>
          <w:sz w:val="24"/>
          <w:szCs w:val="24"/>
          <w:lang w:val="ru-RU"/>
        </w:rPr>
        <w:t>- 9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916EAF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6"/>
        <w:gridCol w:w="1863"/>
        <w:gridCol w:w="4868"/>
      </w:tblGrid>
      <w:tr w:rsidR="00D82680" w:rsidRPr="00D64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916EA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5F46" w:rsidRDefault="00916EAF">
            <w:pPr>
              <w:rPr>
                <w:lang w:val="ru-RU"/>
              </w:rPr>
            </w:pPr>
            <w:r>
              <w:rPr>
                <w:lang w:val="ru-RU"/>
              </w:rPr>
              <w:t>71,43</w:t>
            </w:r>
            <w:r w:rsidR="00C05F46">
              <w:rPr>
                <w:lang w:val="ru-RU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916EA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05F46" w:rsidRDefault="00916EAF">
            <w:pPr>
              <w:rPr>
                <w:lang w:val="ru-RU"/>
              </w:rPr>
            </w:pPr>
            <w:r>
              <w:rPr>
                <w:lang w:val="ru-RU"/>
              </w:rPr>
              <w:t>28,57</w:t>
            </w:r>
            <w:r w:rsidR="00C05F46">
              <w:rPr>
                <w:lang w:val="ru-RU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C05F4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C05F4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916EA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916EA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D82680" w:rsidRPr="00D6454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916E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C32ABA">
            <w:pPr>
              <w:rPr>
                <w:lang w:val="ru-RU"/>
              </w:rPr>
            </w:pPr>
            <w:r>
              <w:rPr>
                <w:lang w:val="ru-RU"/>
              </w:rPr>
              <w:t>16,66%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C05F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32ABA" w:rsidRDefault="00C32ABA">
            <w:pPr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C05F4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16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C32ABA" w:rsidRDefault="00C32ABA">
            <w:pPr>
              <w:rPr>
                <w:lang w:val="ru-RU"/>
              </w:rPr>
            </w:pPr>
            <w:r>
              <w:rPr>
                <w:lang w:val="ru-RU"/>
              </w:rPr>
              <w:t>63,33%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Детский сад.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C04E42" w:rsidRDefault="009446B8" w:rsidP="00A13E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C04E42" w:rsidRDefault="00C04E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6318"/>
      </w:tblGrid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82680" w:rsidRPr="00D6454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r w:rsidR="00A13E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ктор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развития образовательной организации;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D82680" w:rsidRPr="00D6454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C04E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 В</w:t>
      </w:r>
      <w:r w:rsidR="00916EAF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и старшего воспитателя по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образования и добавили контроль организации дистанционного обучения.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 итогам</w:t>
      </w:r>
      <w:r w:rsidR="00916EAF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D82680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Default="009446B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сада.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916EAF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p w:rsidR="00F070BA" w:rsidRPr="00A13E60" w:rsidRDefault="00F070BA" w:rsidP="00F070BA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1020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2"/>
        <w:gridCol w:w="6"/>
        <w:gridCol w:w="2004"/>
        <w:gridCol w:w="708"/>
        <w:gridCol w:w="21"/>
        <w:gridCol w:w="68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F070BA" w:rsidRPr="009A2747" w:rsidTr="00A351C3">
        <w:tc>
          <w:tcPr>
            <w:tcW w:w="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274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274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274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firstLine="25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F070BA" w:rsidRPr="00D64548" w:rsidTr="00A351C3">
        <w:trPr>
          <w:trHeight w:val="345"/>
        </w:trPr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F070BA" w:rsidRPr="00D64548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A13E6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A13E6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Физическое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 Речевое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Итоговый показатель по каждому ребенку (среднее значение)</w:t>
            </w:r>
          </w:p>
        </w:tc>
      </w:tr>
      <w:tr w:rsidR="00F070BA" w:rsidRPr="009A2747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A13E6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A13E60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F070BA" w:rsidRPr="009A2747" w:rsidTr="00A351C3"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070BA" w:rsidRPr="009A2747" w:rsidTr="00A351C3">
        <w:trPr>
          <w:gridAfter w:val="13"/>
          <w:wAfter w:w="966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ABA" w:rsidRPr="009A2747" w:rsidTr="00A351C3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32ABA" w:rsidRPr="009A2747" w:rsidRDefault="00C32A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32ABA" w:rsidRPr="00C04E42" w:rsidRDefault="00C32A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Ромашка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916EAF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2ABA" w:rsidRPr="00DF443D" w:rsidRDefault="002C5769" w:rsidP="00E408BD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  <w:r w:rsidR="00C32A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F070BA" w:rsidRPr="009446B8" w:rsidRDefault="00F070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форма организации образовательного процесса:</w:t>
      </w:r>
    </w:p>
    <w:p w:rsidR="00D82680" w:rsidRPr="009446B8" w:rsidRDefault="009446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82680" w:rsidRPr="009446B8" w:rsidRDefault="009446B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3 до 4 лет – до 15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4 до 5 лет – до 20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5 до 6 лет – до 25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6 до 7 лет – до 30 мин.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2C576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D82680" w:rsidRDefault="009446B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04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C5769">
        <w:rPr>
          <w:rFonts w:hAnsi="Times New Roman" w:cs="Times New Roman"/>
          <w:color w:val="000000"/>
          <w:sz w:val="24"/>
          <w:szCs w:val="24"/>
          <w:lang w:val="ru-RU"/>
        </w:rPr>
        <w:t>18,2/</w:t>
      </w:r>
      <w:r>
        <w:rPr>
          <w:rFonts w:hAnsi="Times New Roman" w:cs="Times New Roman"/>
          <w:color w:val="000000"/>
          <w:sz w:val="24"/>
          <w:szCs w:val="24"/>
        </w:rPr>
        <w:t>1;</w:t>
      </w:r>
    </w:p>
    <w:p w:rsidR="00D82680" w:rsidRDefault="009446B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04E4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71D5">
        <w:rPr>
          <w:rFonts w:hAnsi="Times New Roman" w:cs="Times New Roman"/>
          <w:color w:val="000000"/>
          <w:sz w:val="24"/>
          <w:szCs w:val="24"/>
          <w:lang w:val="ru-RU"/>
        </w:rPr>
        <w:t>9,25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C32ABA" w:rsidRPr="00AA6D56" w:rsidRDefault="00C32ABA" w:rsidP="00C32A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sz w:val="24"/>
          <w:szCs w:val="24"/>
          <w:lang w:val="ru-RU"/>
        </w:rPr>
        <w:t>Все педагоги своевременно проходят КПК, обучаются на хозрасчётных и проблемных курсах при ТАГИРО, проходят курсы повышения квалификации по информационным технологиям. А также повышают свой профессиональный уровень через посещения методических объединений района, прохождение процедуры аттестации, самообразование, что способствует повышению профессионального мастерства, положительно влияет на развитие Детского сада. Образовательная деятельность в Детском саду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стабильный, работоспособный. Педагогические работники  обладают основными компетенциями</w:t>
      </w:r>
      <w:r w:rsidRPr="00AA6D56">
        <w:rPr>
          <w:lang w:val="ru-RU"/>
        </w:rPr>
        <w:t xml:space="preserve">, необходимыми для создания условий развития детей в соответствии с ФГОС </w:t>
      </w:r>
      <w:proofErr w:type="gramStart"/>
      <w:r w:rsidRPr="00AA6D56">
        <w:rPr>
          <w:lang w:val="ru-RU"/>
        </w:rPr>
        <w:t>ДО</w:t>
      </w:r>
      <w:proofErr w:type="gramEnd"/>
      <w:r w:rsidRPr="00AA6D56">
        <w:rPr>
          <w:lang w:val="ru-RU"/>
        </w:rPr>
        <w:t>.</w:t>
      </w:r>
    </w:p>
    <w:p w:rsidR="00D82680" w:rsidRPr="00AA0892" w:rsidRDefault="009446B8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A0892">
        <w:rPr>
          <w:rFonts w:hAnsi="Times New Roman" w:cs="Times New Roman"/>
          <w:b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3B64ED" w:rsidRDefault="003B64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ko-KR"/>
        </w:rPr>
        <w:lastRenderedPageBreak/>
        <w:drawing>
          <wp:inline distT="0" distB="0" distL="0" distR="0">
            <wp:extent cx="5491843" cy="2460171"/>
            <wp:effectExtent l="19050" t="0" r="1360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892" w:rsidRPr="009446B8" w:rsidRDefault="00C04E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ko-KR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82680" w:rsidRDefault="00AA08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5769">
        <w:rPr>
          <w:rFonts w:hAnsi="Times New Roman" w:cs="Times New Roman"/>
          <w:color w:val="000000"/>
          <w:sz w:val="24"/>
          <w:szCs w:val="24"/>
          <w:lang w:val="ru-RU"/>
        </w:rPr>
        <w:t xml:space="preserve"> 2022-2023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коллектив Детского сада, продолжает изучать и внедрять ФГОС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воспитательно-образовательный процесс в целях обновления системы дошкольного образования и достижения оптимального развития ребенка-дошкольника. В деятельность с детьми внедряются новые формы работы по всем образовательным и воспитательным направлениям.</w:t>
      </w:r>
    </w:p>
    <w:p w:rsidR="00A351C3" w:rsidRDefault="00A351C3" w:rsidP="00A351C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51C3">
        <w:rPr>
          <w:rFonts w:hAnsi="Times New Roman" w:cs="Times New Roman"/>
          <w:b/>
          <w:color w:val="000000"/>
          <w:sz w:val="24"/>
          <w:szCs w:val="24"/>
          <w:lang w:val="ru-RU"/>
        </w:rPr>
        <w:t>В рамках проводимых мероприятий педагоги на протяжении</w:t>
      </w:r>
      <w:r w:rsidR="002C576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2022- 2023</w:t>
      </w:r>
      <w:r w:rsidRPr="00A351C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учебного года делились своим опытом с коллегами других детских садов.</w:t>
      </w:r>
    </w:p>
    <w:tbl>
      <w:tblPr>
        <w:tblStyle w:val="a7"/>
        <w:tblW w:w="0" w:type="auto"/>
        <w:tblLook w:val="04A0"/>
      </w:tblPr>
      <w:tblGrid>
        <w:gridCol w:w="1554"/>
        <w:gridCol w:w="2108"/>
        <w:gridCol w:w="2207"/>
        <w:gridCol w:w="1739"/>
        <w:gridCol w:w="1635"/>
      </w:tblGrid>
      <w:tr w:rsidR="00A351C3" w:rsidTr="002226C5">
        <w:tc>
          <w:tcPr>
            <w:tcW w:w="1677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566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мероприятия</w:t>
            </w:r>
          </w:p>
        </w:tc>
      </w:tr>
      <w:tr w:rsidR="00A351C3" w:rsidTr="002226C5">
        <w:tc>
          <w:tcPr>
            <w:tcW w:w="1677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351C3" w:rsidRPr="00803722" w:rsidRDefault="00803722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Январь 2020 по декабрь 2020</w:t>
            </w:r>
          </w:p>
        </w:tc>
        <w:tc>
          <w:tcPr>
            <w:tcW w:w="1777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работы</w:t>
            </w:r>
          </w:p>
        </w:tc>
        <w:tc>
          <w:tcPr>
            <w:tcW w:w="2246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19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724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A351C3" w:rsidTr="002226C5">
        <w:tc>
          <w:tcPr>
            <w:tcW w:w="1677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6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методических групп</w:t>
            </w:r>
          </w:p>
        </w:tc>
      </w:tr>
      <w:tr w:rsidR="00A351C3" w:rsidTr="002226C5">
        <w:tc>
          <w:tcPr>
            <w:tcW w:w="1677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246" w:type="dxa"/>
          </w:tcPr>
          <w:p w:rsidR="00A351C3" w:rsidRPr="0046172A" w:rsidRDefault="0046172A" w:rsidP="00803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172A">
              <w:rPr>
                <w:color w:val="000000"/>
                <w:shd w:val="clear" w:color="auto" w:fill="FFFFFF"/>
                <w:lang w:val="ru-RU"/>
              </w:rPr>
              <w:t>«Русская народная сказка, как средство развития речи у дошкольников»</w:t>
            </w:r>
          </w:p>
        </w:tc>
        <w:tc>
          <w:tcPr>
            <w:tcW w:w="1819" w:type="dxa"/>
          </w:tcPr>
          <w:p w:rsidR="00A351C3" w:rsidRPr="003C25B1" w:rsidRDefault="002226C5" w:rsidP="004617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Плесовских </w:t>
            </w:r>
            <w:r w:rsidR="00461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В.О.</w:t>
            </w:r>
          </w:p>
        </w:tc>
        <w:tc>
          <w:tcPr>
            <w:tcW w:w="1724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2226C5">
        <w:tc>
          <w:tcPr>
            <w:tcW w:w="1677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A351C3" w:rsidRPr="003C25B1" w:rsidRDefault="0046172A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2226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еминар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6" w:type="dxa"/>
          </w:tcPr>
          <w:p w:rsidR="00A351C3" w:rsidRPr="0046172A" w:rsidRDefault="0046172A" w:rsidP="0046172A">
            <w:pPr>
              <w:pStyle w:val="c4c14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301EF2">
              <w:rPr>
                <w:color w:val="000000"/>
                <w:shd w:val="clear" w:color="auto" w:fill="FFFFFF"/>
              </w:rPr>
              <w:t>«Развитие диалогической речи детей дошкольного возраста посредством элементов театрализованной деятельности»</w:t>
            </w:r>
          </w:p>
        </w:tc>
        <w:tc>
          <w:tcPr>
            <w:tcW w:w="1819" w:type="dxa"/>
          </w:tcPr>
          <w:p w:rsidR="00A351C3" w:rsidRPr="003C25B1" w:rsidRDefault="002226C5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Плесовских А.А.</w:t>
            </w:r>
          </w:p>
        </w:tc>
        <w:tc>
          <w:tcPr>
            <w:tcW w:w="1724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3C25B1" w:rsidRPr="00D64548" w:rsidTr="002226C5">
        <w:tc>
          <w:tcPr>
            <w:tcW w:w="1677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66" w:type="dxa"/>
            <w:gridSpan w:val="4"/>
          </w:tcPr>
          <w:p w:rsidR="003C25B1" w:rsidRPr="00060D0A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Открытые просмотры НОД среди педагогов ДО  МАОУ 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Шишкинская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3C25B1" w:rsidTr="002226C5">
        <w:tc>
          <w:tcPr>
            <w:tcW w:w="1677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3C25B1" w:rsidRPr="002C5769" w:rsidRDefault="002C5769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769">
              <w:rPr>
                <w:color w:val="181818"/>
                <w:sz w:val="25"/>
                <w:szCs w:val="25"/>
                <w:shd w:val="clear" w:color="auto" w:fill="FFFFFF"/>
                <w:lang w:val="ru-RU"/>
              </w:rPr>
              <w:t>Совместная свободная деятельность по образовательной области «Художественно-эстетическое развитие», направление</w:t>
            </w:r>
            <w:r>
              <w:rPr>
                <w:color w:val="181818"/>
                <w:sz w:val="25"/>
                <w:szCs w:val="25"/>
                <w:shd w:val="clear" w:color="auto" w:fill="FFFFFF"/>
              </w:rPr>
              <w:t> </w:t>
            </w:r>
            <w:r w:rsidRPr="002C5769">
              <w:rPr>
                <w:color w:val="181818"/>
                <w:sz w:val="25"/>
                <w:szCs w:val="25"/>
                <w:shd w:val="clear" w:color="auto" w:fill="FFFFFF"/>
                <w:lang w:val="ru-RU"/>
              </w:rPr>
              <w:t xml:space="preserve"> «Конструктивно-модельная деятельность»</w:t>
            </w:r>
          </w:p>
        </w:tc>
        <w:tc>
          <w:tcPr>
            <w:tcW w:w="2246" w:type="dxa"/>
          </w:tcPr>
          <w:p w:rsidR="003C25B1" w:rsidRPr="003C25B1" w:rsidRDefault="003C25B1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</w:p>
        </w:tc>
        <w:tc>
          <w:tcPr>
            <w:tcW w:w="1819" w:type="dxa"/>
          </w:tcPr>
          <w:p w:rsidR="003C25B1" w:rsidRPr="003C25B1" w:rsidRDefault="002C5769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1724" w:type="dxa"/>
          </w:tcPr>
          <w:p w:rsidR="003C25B1" w:rsidRPr="0046172A" w:rsidRDefault="002C5769">
            <w:pPr>
              <w:rPr>
                <w:lang w:val="ru-RU"/>
              </w:rPr>
            </w:pPr>
            <w:r>
              <w:rPr>
                <w:lang w:val="ru-RU"/>
              </w:rPr>
              <w:t>Средний (педагог набирает опыт)</w:t>
            </w:r>
          </w:p>
        </w:tc>
      </w:tr>
      <w:tr w:rsidR="003C25B1" w:rsidTr="002226C5">
        <w:tc>
          <w:tcPr>
            <w:tcW w:w="1677" w:type="dxa"/>
            <w:vMerge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7" w:type="dxa"/>
          </w:tcPr>
          <w:p w:rsidR="003C25B1" w:rsidRPr="002C5769" w:rsidRDefault="002C5769" w:rsidP="003C25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5769">
              <w:rPr>
                <w:color w:val="000000"/>
                <w:shd w:val="clear" w:color="auto" w:fill="FFFFFF"/>
                <w:lang w:val="ru-RU"/>
              </w:rPr>
              <w:t xml:space="preserve">НОД </w:t>
            </w:r>
            <w:r>
              <w:rPr>
                <w:color w:val="000000"/>
                <w:shd w:val="clear" w:color="auto" w:fill="FFFFFF"/>
              </w:rPr>
              <w:t> </w:t>
            </w:r>
            <w:r w:rsidRPr="002C5769">
              <w:rPr>
                <w:color w:val="000000"/>
                <w:shd w:val="clear" w:color="auto" w:fill="FFFFFF"/>
                <w:lang w:val="ru-RU"/>
              </w:rPr>
              <w:t>по образовательной области «Речевое развитие», направление «Коммуникация»</w:t>
            </w:r>
          </w:p>
        </w:tc>
        <w:tc>
          <w:tcPr>
            <w:tcW w:w="2246" w:type="dxa"/>
          </w:tcPr>
          <w:p w:rsidR="003C25B1" w:rsidRPr="0068648B" w:rsidRDefault="0046172A" w:rsidP="0046172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Зимние кружева</w:t>
            </w:r>
          </w:p>
        </w:tc>
        <w:tc>
          <w:tcPr>
            <w:tcW w:w="1819" w:type="dxa"/>
          </w:tcPr>
          <w:p w:rsidR="003C25B1" w:rsidRPr="003C25B1" w:rsidRDefault="002226C5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Плесовских А.А.</w:t>
            </w:r>
          </w:p>
        </w:tc>
        <w:tc>
          <w:tcPr>
            <w:tcW w:w="1724" w:type="dxa"/>
          </w:tcPr>
          <w:p w:rsidR="003C25B1" w:rsidRDefault="002C576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</w:tbl>
    <w:p w:rsidR="00A351C3" w:rsidRPr="00AA0892" w:rsidRDefault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5769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связи с ограничительными мерами по предотвращению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педагоги использовали в работе дистанционные образовательные технологии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D82680" w:rsidRPr="00A13E60" w:rsidRDefault="00D82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32ABA" w:rsidRPr="00AA6D56" w:rsidRDefault="00C32ABA" w:rsidP="00C32A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2C5769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C32ABA" w:rsidRPr="00AA6D56" w:rsidRDefault="00C32ABA" w:rsidP="00C32AB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>;</w:t>
      </w:r>
    </w:p>
    <w:p w:rsidR="00C32ABA" w:rsidRPr="00AA6D56" w:rsidRDefault="00C32ABA" w:rsidP="00C32AB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C32ABA" w:rsidRPr="00AA6D56" w:rsidRDefault="00C32ABA" w:rsidP="00C32AB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32ABA" w:rsidRPr="00AA6D56" w:rsidRDefault="00C32ABA" w:rsidP="00C32AB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Сказки и рассказы для детей;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D82680" w:rsidRPr="009446B8" w:rsidRDefault="009446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информационно-телекоммуникационное;</w:t>
      </w:r>
    </w:p>
    <w:p w:rsidR="00D82680" w:rsidRPr="009446B8" w:rsidRDefault="009446B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>Организация и расположение предметов развивающей среды в групповых комнатах, кабинетах и зале рациональны, логичны, доступны для детей, отвечают эстетическим требованиям, санитарно-гигиеническим нормам, требованиям техники безопасности, возрастным и индивидуальным особенностям детей. В детском саду созданы необходимые условия для целенаправленного действия ребенка во всех видах деятельности и реализации его индивидуальных возможностей и интересов.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 xml:space="preserve">В достаточном количестве  имеются игрушки, развивающие пособия, дидактические игры, книги. В группах оформлены центры природы, экспериментирования.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3B34CF">
        <w:t xml:space="preserve">Своими силами, покрашено и отремонтировано игровое оборудование  на участках. Участки  дошкольного учреждения озеленены. Имеются цветы на клумбах.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На  физкультурных занятиях активно используются специальное оборудование, корригирующие дорожки для профилактики плоскостопия, для проведения занятий в </w:t>
      </w:r>
      <w:r w:rsidRPr="003B34CF">
        <w:lastRenderedPageBreak/>
        <w:t xml:space="preserve">зимнее время  -  лыжи. Для организации летнего оздоровительного периода для  детей приобретены атрибуты для  спортивных игр мячи, скакалки, разнообразные игрушки для сюжетно – ролевых игр. </w:t>
      </w:r>
    </w:p>
    <w:p w:rsidR="009446B8" w:rsidRPr="003B34CF" w:rsidRDefault="00C06853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>
        <w:t xml:space="preserve">Детский сад оснащен </w:t>
      </w:r>
      <w:r w:rsidR="009446B8" w:rsidRPr="003B34CF">
        <w:t xml:space="preserve"> методической литературой по реализуемым программам,  обновлен демонстрационный материал, дидактические пособия. К услугам педагогов  копировальный аппарат, сканер,  цветной струйный принтер и другая оргтехника.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Укрепление материально-технической базы учреждения осуществлялось: </w:t>
      </w:r>
    </w:p>
    <w:p w:rsidR="009446B8" w:rsidRPr="00C06853" w:rsidRDefault="009446B8" w:rsidP="009446B8">
      <w:pPr>
        <w:pStyle w:val="a5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B34CF">
        <w:rPr>
          <w:sz w:val="24"/>
          <w:szCs w:val="24"/>
        </w:rPr>
        <w:t>за счет средств местного бюджета</w:t>
      </w:r>
      <w:r w:rsidRPr="00C06853">
        <w:rPr>
          <w:sz w:val="24"/>
          <w:szCs w:val="24"/>
        </w:rPr>
        <w:t xml:space="preserve">. </w:t>
      </w:r>
    </w:p>
    <w:p w:rsidR="009446B8" w:rsidRPr="009446B8" w:rsidRDefault="009446B8" w:rsidP="009446B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34CF">
        <w:rPr>
          <w:rFonts w:ascii="Times New Roman" w:hAnsi="Times New Roman"/>
          <w:sz w:val="24"/>
          <w:szCs w:val="24"/>
          <w:lang w:val="ru-RU"/>
        </w:rPr>
        <w:tab/>
        <w:t>Вся проделанная работа, в первую очередь, направленная на создание условий для реализации основной образовательной пр</w:t>
      </w:r>
      <w:r w:rsidR="00C06853">
        <w:rPr>
          <w:rFonts w:ascii="Times New Roman" w:hAnsi="Times New Roman"/>
          <w:sz w:val="24"/>
          <w:szCs w:val="24"/>
          <w:lang w:val="ru-RU"/>
        </w:rPr>
        <w:t>ограммы дошкольного образования.</w:t>
      </w:r>
    </w:p>
    <w:p w:rsidR="009446B8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68648B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30.12.2021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3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25"/>
        <w:gridCol w:w="1488"/>
        <w:gridCol w:w="1265"/>
        <w:gridCol w:w="1278"/>
      </w:tblGrid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8F2939" w:rsidRDefault="008F293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8F2939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2022</w:t>
            </w:r>
          </w:p>
        </w:tc>
      </w:tr>
      <w:tr w:rsidR="008F2939" w:rsidTr="008F2939">
        <w:trPr>
          <w:trHeight w:val="246"/>
        </w:trPr>
        <w:tc>
          <w:tcPr>
            <w:tcW w:w="10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8F2939" w:rsidRDefault="008F29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Pr="00C06853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C06853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C06853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C06853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C06853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C06853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сопровождением, которое организует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D1017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D1017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D1017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D1017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Pr="00D10175" w:rsidRDefault="008F2939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43/100%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D10175" w:rsidRDefault="008F29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/100%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roofErr w:type="spellStart"/>
            <w:r w:rsidRPr="00934035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93403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9446B8">
              <w:rPr>
                <w:lang w:val="ru-RU"/>
              </w:rPr>
              <w:br/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Pr="002226C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2226C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/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/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высшим образованием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/>
        </w:tc>
      </w:tr>
      <w:tr w:rsidR="008F2939" w:rsidRPr="00D64548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средним профессиональным образованием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proofErr w:type="gramEnd"/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68648B" w:rsidRDefault="008F2939" w:rsidP="004E000A">
            <w:pPr>
              <w:rPr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68648B" w:rsidRDefault="008F2939">
            <w:pPr>
              <w:rPr>
                <w:lang w:val="ru-RU"/>
              </w:rPr>
            </w:pP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2939" w:rsidTr="008F2939">
        <w:trPr>
          <w:trHeight w:val="24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2226C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2226C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1(50%)</w:t>
            </w:r>
          </w:p>
        </w:tc>
      </w:tr>
      <w:tr w:rsidR="008F2939" w:rsidTr="008F2939">
        <w:trPr>
          <w:trHeight w:val="96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8F2939" w:rsidTr="008F2939">
        <w:trPr>
          <w:trHeight w:val="49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2939" w:rsidTr="008F2939">
        <w:trPr>
          <w:trHeight w:val="467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F2939" w:rsidTr="008F2939">
        <w:trPr>
          <w:trHeight w:val="467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93403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2939" w:rsidTr="008F2939">
        <w:trPr>
          <w:trHeight w:val="49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2939" w:rsidTr="008F2939">
        <w:trPr>
          <w:trHeight w:val="49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2939" w:rsidTr="008F2939">
        <w:trPr>
          <w:trHeight w:val="467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2939" w:rsidTr="008F2939">
        <w:trPr>
          <w:trHeight w:val="49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F2939" w:rsidTr="008F2939">
        <w:trPr>
          <w:trHeight w:val="496"/>
        </w:trPr>
        <w:tc>
          <w:tcPr>
            <w:tcW w:w="10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F2939" w:rsidTr="008F2939">
        <w:trPr>
          <w:trHeight w:val="937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93403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F2939" w:rsidTr="008F2939">
        <w:trPr>
          <w:trHeight w:val="96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934035" w:rsidRDefault="008F2939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F2939" w:rsidTr="008F2939">
        <w:trPr>
          <w:trHeight w:val="467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F2939" w:rsidRDefault="008F2939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2939" w:rsidTr="008F2939">
        <w:trPr>
          <w:trHeight w:val="467"/>
        </w:trPr>
        <w:tc>
          <w:tcPr>
            <w:tcW w:w="6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934035" w:rsidRDefault="008F2939" w:rsidP="004E000A">
            <w:pPr>
              <w:rPr>
                <w:lang w:val="ru-RU"/>
              </w:rPr>
            </w:pPr>
          </w:p>
        </w:tc>
        <w:tc>
          <w:tcPr>
            <w:tcW w:w="12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Pr>
              <w:rPr>
                <w:lang w:val="ru-RU"/>
              </w:rPr>
            </w:pPr>
          </w:p>
        </w:tc>
      </w:tr>
      <w:tr w:rsidR="008F2939" w:rsidTr="008F2939">
        <w:trPr>
          <w:trHeight w:val="49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Pr="00934035" w:rsidRDefault="008F2939" w:rsidP="004E000A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8F2939" w:rsidTr="008F2939">
        <w:trPr>
          <w:trHeight w:val="966"/>
        </w:trPr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прогулочных площадок, которые оснащены так, чтобы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446B8" w:rsidRDefault="008F29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939" w:rsidRDefault="008F293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939" w:rsidRPr="00934035" w:rsidRDefault="008F2939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82680" w:rsidRPr="009446B8" w:rsidSect="00D826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C7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95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3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E1B9D"/>
    <w:multiLevelType w:val="hybridMultilevel"/>
    <w:tmpl w:val="C8AE4D4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3EE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C1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EA0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45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7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A2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4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A0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C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90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E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A05CE"/>
    <w:rsid w:val="0001204E"/>
    <w:rsid w:val="001C263D"/>
    <w:rsid w:val="002226C5"/>
    <w:rsid w:val="002C5769"/>
    <w:rsid w:val="002D33B1"/>
    <w:rsid w:val="002D3591"/>
    <w:rsid w:val="003514A0"/>
    <w:rsid w:val="003B34CF"/>
    <w:rsid w:val="003B64ED"/>
    <w:rsid w:val="003C25B1"/>
    <w:rsid w:val="003E14C0"/>
    <w:rsid w:val="0046172A"/>
    <w:rsid w:val="00470250"/>
    <w:rsid w:val="004F7E17"/>
    <w:rsid w:val="00507F5B"/>
    <w:rsid w:val="005A05CE"/>
    <w:rsid w:val="00653AF6"/>
    <w:rsid w:val="0068648B"/>
    <w:rsid w:val="006A0B51"/>
    <w:rsid w:val="00757D35"/>
    <w:rsid w:val="00786A00"/>
    <w:rsid w:val="007E7D4F"/>
    <w:rsid w:val="00803722"/>
    <w:rsid w:val="008072B3"/>
    <w:rsid w:val="008378F1"/>
    <w:rsid w:val="008F2939"/>
    <w:rsid w:val="00916EAF"/>
    <w:rsid w:val="00934035"/>
    <w:rsid w:val="009446B8"/>
    <w:rsid w:val="00A13E60"/>
    <w:rsid w:val="00A351C3"/>
    <w:rsid w:val="00AA0892"/>
    <w:rsid w:val="00B73A5A"/>
    <w:rsid w:val="00C04E42"/>
    <w:rsid w:val="00C05F46"/>
    <w:rsid w:val="00C06853"/>
    <w:rsid w:val="00C32ABA"/>
    <w:rsid w:val="00C86371"/>
    <w:rsid w:val="00CB71D5"/>
    <w:rsid w:val="00D10175"/>
    <w:rsid w:val="00D64548"/>
    <w:rsid w:val="00D82680"/>
    <w:rsid w:val="00E438A1"/>
    <w:rsid w:val="00F01E19"/>
    <w:rsid w:val="00F070BA"/>
    <w:rsid w:val="00F51E6C"/>
    <w:rsid w:val="00F8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46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46B8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446B8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F070BA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351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226C5"/>
    <w:rPr>
      <w:color w:val="0000FF"/>
      <w:u w:val="single"/>
    </w:rPr>
  </w:style>
  <w:style w:type="paragraph" w:customStyle="1" w:styleId="c4c14">
    <w:name w:val="c4 c14"/>
    <w:basedOn w:val="a"/>
    <w:rsid w:val="004617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cat>
            <c:strRef>
              <c:f>Лист1!$A$2:$A$3</c:f>
              <c:strCache>
                <c:ptCount val="1"/>
                <c:pt idx="0">
                  <c:v>высшее педагогческое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стажу работы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до 5 лет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Детский сад</cp:lastModifiedBy>
  <cp:revision>11</cp:revision>
  <dcterms:created xsi:type="dcterms:W3CDTF">2011-11-02T04:15:00Z</dcterms:created>
  <dcterms:modified xsi:type="dcterms:W3CDTF">2023-04-21T03:46:00Z</dcterms:modified>
</cp:coreProperties>
</file>